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EF9" w:rsidRDefault="00DC7EF9" w:rsidP="00DC7EF9">
      <w:pPr>
        <w:pBdr>
          <w:top w:val="thinThickSmallGap" w:sz="24" w:space="1" w:color="auto"/>
          <w:left w:val="thinThickSmallGap" w:sz="24" w:space="4" w:color="auto"/>
          <w:bottom w:val="thickThinSmallGap" w:sz="24" w:space="1" w:color="auto"/>
          <w:right w:val="thickThinSmallGap" w:sz="24" w:space="4" w:color="auto"/>
        </w:pBdr>
        <w:rPr>
          <w:b/>
          <w:bCs/>
          <w:sz w:val="32"/>
          <w:szCs w:val="32"/>
        </w:rPr>
      </w:pPr>
      <w:r>
        <w:rPr>
          <w:b/>
          <w:bCs/>
          <w:sz w:val="32"/>
          <w:szCs w:val="32"/>
        </w:rPr>
        <w:t xml:space="preserve">           </w:t>
      </w:r>
    </w:p>
    <w:p w:rsidR="00353835" w:rsidRPr="00DC7EF9" w:rsidRDefault="00DC7EF9" w:rsidP="00DC7EF9">
      <w:pPr>
        <w:pBdr>
          <w:top w:val="thinThickSmallGap" w:sz="24" w:space="1" w:color="auto"/>
          <w:left w:val="thinThickSmallGap" w:sz="24" w:space="4" w:color="auto"/>
          <w:bottom w:val="thickThinSmallGap" w:sz="24" w:space="1" w:color="auto"/>
          <w:right w:val="thickThinSmallGap" w:sz="24" w:space="4" w:color="auto"/>
        </w:pBdr>
        <w:rPr>
          <w:b/>
          <w:bCs/>
          <w:sz w:val="32"/>
          <w:szCs w:val="32"/>
        </w:rPr>
      </w:pPr>
      <w:r>
        <w:rPr>
          <w:b/>
          <w:bCs/>
          <w:sz w:val="32"/>
          <w:szCs w:val="32"/>
        </w:rPr>
        <w:t xml:space="preserve">       </w:t>
      </w:r>
      <w:r w:rsidR="00353835" w:rsidRPr="00DC7EF9">
        <w:rPr>
          <w:b/>
          <w:bCs/>
          <w:sz w:val="32"/>
          <w:szCs w:val="32"/>
        </w:rPr>
        <w:t>Frequently asked questions</w:t>
      </w:r>
      <w:r>
        <w:rPr>
          <w:b/>
          <w:bCs/>
          <w:sz w:val="32"/>
          <w:szCs w:val="32"/>
        </w:rPr>
        <w:t xml:space="preserve"> about the Personal Project</w:t>
      </w:r>
    </w:p>
    <w:p w:rsidR="00353835" w:rsidRPr="00353835" w:rsidRDefault="00353835" w:rsidP="00DC7EF9">
      <w:pPr>
        <w:pBdr>
          <w:top w:val="thinThickSmallGap" w:sz="24" w:space="1" w:color="auto"/>
          <w:left w:val="thinThickSmallGap" w:sz="24" w:space="4" w:color="auto"/>
          <w:bottom w:val="thickThinSmallGap" w:sz="24" w:space="1" w:color="auto"/>
          <w:right w:val="thickThinSmallGap" w:sz="24" w:space="4" w:color="auto"/>
        </w:pBdr>
        <w:rPr>
          <w:b/>
        </w:rPr>
      </w:pPr>
      <w:r w:rsidRPr="00353835">
        <w:rPr>
          <w:b/>
        </w:rPr>
        <w:t>What is the appropriate length of time a student needs in order to complete the personal project?</w:t>
      </w:r>
    </w:p>
    <w:p w:rsidR="00DC7EF9" w:rsidRDefault="00353835" w:rsidP="00DC7EF9">
      <w:pPr>
        <w:pBdr>
          <w:top w:val="thinThickSmallGap" w:sz="24" w:space="1" w:color="auto"/>
          <w:left w:val="thinThickSmallGap" w:sz="24" w:space="4" w:color="auto"/>
          <w:bottom w:val="thickThinSmallGap" w:sz="24" w:space="1" w:color="auto"/>
          <w:right w:val="thickThinSmallGap" w:sz="24" w:space="4" w:color="auto"/>
        </w:pBdr>
      </w:pPr>
      <w:r w:rsidRPr="00353835">
        <w:t xml:space="preserve">The MYP </w:t>
      </w:r>
      <w:r w:rsidRPr="00353835">
        <w:rPr>
          <w:i/>
          <w:iCs/>
        </w:rPr>
        <w:t>Personal project guide</w:t>
      </w:r>
      <w:r w:rsidRPr="00353835">
        <w:t xml:space="preserve"> (January 2011) suggests that the personal project will be completed over a period of between six and nine months. </w:t>
      </w:r>
    </w:p>
    <w:p w:rsidR="00353835" w:rsidRPr="00353835" w:rsidRDefault="00353835" w:rsidP="00DC7EF9">
      <w:pPr>
        <w:pBdr>
          <w:top w:val="thinThickSmallGap" w:sz="24" w:space="1" w:color="auto"/>
          <w:left w:val="thinThickSmallGap" w:sz="24" w:space="4" w:color="auto"/>
          <w:bottom w:val="thickThinSmallGap" w:sz="24" w:space="1" w:color="auto"/>
          <w:right w:val="thickThinSmallGap" w:sz="24" w:space="4" w:color="auto"/>
        </w:pBdr>
        <w:rPr>
          <w:b/>
        </w:rPr>
      </w:pPr>
      <w:r w:rsidRPr="00353835">
        <w:rPr>
          <w:b/>
        </w:rPr>
        <w:t xml:space="preserve">What is an appropriate number of sources? </w:t>
      </w:r>
    </w:p>
    <w:p w:rsidR="00353835" w:rsidRPr="00353835" w:rsidRDefault="00353835" w:rsidP="00DC7EF9">
      <w:pPr>
        <w:pBdr>
          <w:top w:val="thinThickSmallGap" w:sz="24" w:space="1" w:color="auto"/>
          <w:left w:val="thinThickSmallGap" w:sz="24" w:space="4" w:color="auto"/>
          <w:bottom w:val="thickThinSmallGap" w:sz="24" w:space="1" w:color="auto"/>
          <w:right w:val="thickThinSmallGap" w:sz="24" w:space="4" w:color="auto"/>
        </w:pBdr>
      </w:pPr>
      <w:r w:rsidRPr="00353835">
        <w:t xml:space="preserve">It is not possible to quantify precisely the number of sources that a student must use in the personal project, which is why numerical values have not been included in the level descriptors for criterion C: select sources. Supervisors will need to use their judgment in relation to the topic of the project and the availability of sources relating to this topic. For example, is this an area of interest that is already well researched and documented? What resources are available in the school community (in the library, media or resource center) in relation to the topic? To what extent has the student taken the initiative in their search for sources? </w:t>
      </w:r>
    </w:p>
    <w:p w:rsidR="00353835" w:rsidRPr="00353835" w:rsidRDefault="00353835" w:rsidP="00DC7EF9">
      <w:pPr>
        <w:pBdr>
          <w:top w:val="thinThickSmallGap" w:sz="24" w:space="1" w:color="auto"/>
          <w:left w:val="thinThickSmallGap" w:sz="24" w:space="4" w:color="auto"/>
          <w:bottom w:val="thickThinSmallGap" w:sz="24" w:space="1" w:color="auto"/>
          <w:right w:val="thickThinSmallGap" w:sz="24" w:space="4" w:color="auto"/>
        </w:pBdr>
        <w:rPr>
          <w:b/>
        </w:rPr>
      </w:pPr>
      <w:r w:rsidRPr="00353835">
        <w:rPr>
          <w:b/>
        </w:rPr>
        <w:t>We submit samples of work for moderation. Do all personal projects need to be completed by the moderation deadline?</w:t>
      </w:r>
    </w:p>
    <w:p w:rsidR="00353835" w:rsidRPr="00353835" w:rsidRDefault="00353835" w:rsidP="00DC7EF9">
      <w:pPr>
        <w:pBdr>
          <w:top w:val="thinThickSmallGap" w:sz="24" w:space="1" w:color="auto"/>
          <w:left w:val="thinThickSmallGap" w:sz="24" w:space="4" w:color="auto"/>
          <w:bottom w:val="thickThinSmallGap" w:sz="24" w:space="1" w:color="auto"/>
          <w:right w:val="thickThinSmallGap" w:sz="24" w:space="4" w:color="auto"/>
        </w:pBdr>
      </w:pPr>
      <w:r w:rsidRPr="00353835">
        <w:t xml:space="preserve">Sufficient personal projects need to be completed by the appropriate deadlines for moderation; not all projects need be completed. It is important to highlight that all projects must go through a standardization process regardless of when they are completed. Schools must consider how best to organize the personal project schedule. </w:t>
      </w:r>
    </w:p>
    <w:p w:rsidR="00353835" w:rsidRPr="00353835" w:rsidRDefault="00353835" w:rsidP="00DC7EF9">
      <w:pPr>
        <w:pBdr>
          <w:top w:val="thinThickSmallGap" w:sz="24" w:space="1" w:color="auto"/>
          <w:left w:val="thinThickSmallGap" w:sz="24" w:space="4" w:color="auto"/>
          <w:bottom w:val="thickThinSmallGap" w:sz="24" w:space="1" w:color="auto"/>
          <w:right w:val="thickThinSmallGap" w:sz="24" w:space="4" w:color="auto"/>
        </w:pBdr>
        <w:rPr>
          <w:b/>
        </w:rPr>
      </w:pPr>
      <w:r w:rsidRPr="00353835">
        <w:rPr>
          <w:b/>
        </w:rPr>
        <w:t>In which languages can the personal project be completed?</w:t>
      </w:r>
    </w:p>
    <w:p w:rsidR="00DC7EF9" w:rsidRDefault="00353835" w:rsidP="00DC7EF9">
      <w:pPr>
        <w:pBdr>
          <w:top w:val="thinThickSmallGap" w:sz="24" w:space="1" w:color="auto"/>
          <w:left w:val="thinThickSmallGap" w:sz="24" w:space="4" w:color="auto"/>
          <w:bottom w:val="thickThinSmallGap" w:sz="24" w:space="1" w:color="auto"/>
          <w:right w:val="thickThinSmallGap" w:sz="24" w:space="4" w:color="auto"/>
        </w:pBdr>
        <w:tabs>
          <w:tab w:val="num" w:pos="720"/>
        </w:tabs>
      </w:pPr>
      <w:r w:rsidRPr="00353835">
        <w:t>This depends on the context of the school. Languages include:</w:t>
      </w:r>
    </w:p>
    <w:p w:rsidR="00DC7EF9" w:rsidRDefault="00353835" w:rsidP="00DC7EF9">
      <w:pPr>
        <w:pBdr>
          <w:top w:val="thinThickSmallGap" w:sz="24" w:space="1" w:color="auto"/>
          <w:left w:val="thinThickSmallGap" w:sz="24" w:space="4" w:color="auto"/>
          <w:bottom w:val="thickThinSmallGap" w:sz="24" w:space="1" w:color="auto"/>
          <w:right w:val="thickThinSmallGap" w:sz="24" w:space="4" w:color="auto"/>
        </w:pBdr>
        <w:tabs>
          <w:tab w:val="num" w:pos="720"/>
        </w:tabs>
      </w:pPr>
      <w:proofErr w:type="gramStart"/>
      <w:r w:rsidRPr="00353835">
        <w:t>the</w:t>
      </w:r>
      <w:proofErr w:type="gramEnd"/>
      <w:r w:rsidRPr="00353835">
        <w:t xml:space="preserve"> language of instruction in the school</w:t>
      </w:r>
    </w:p>
    <w:p w:rsidR="00DC7EF9" w:rsidRDefault="00353835" w:rsidP="00DC7EF9">
      <w:pPr>
        <w:pBdr>
          <w:top w:val="thinThickSmallGap" w:sz="24" w:space="1" w:color="auto"/>
          <w:left w:val="thinThickSmallGap" w:sz="24" w:space="4" w:color="auto"/>
          <w:bottom w:val="thickThinSmallGap" w:sz="24" w:space="1" w:color="auto"/>
          <w:right w:val="thickThinSmallGap" w:sz="24" w:space="4" w:color="auto"/>
        </w:pBdr>
        <w:tabs>
          <w:tab w:val="num" w:pos="720"/>
        </w:tabs>
      </w:pPr>
      <w:proofErr w:type="gramStart"/>
      <w:r w:rsidRPr="00353835">
        <w:t>the</w:t>
      </w:r>
      <w:proofErr w:type="gramEnd"/>
      <w:r w:rsidRPr="00353835">
        <w:t xml:space="preserve"> local language (if different from the language of instruction)</w:t>
      </w:r>
    </w:p>
    <w:p w:rsidR="00353835" w:rsidRPr="00353835" w:rsidRDefault="00353835" w:rsidP="00DC7EF9">
      <w:pPr>
        <w:pBdr>
          <w:top w:val="thinThickSmallGap" w:sz="24" w:space="1" w:color="auto"/>
          <w:left w:val="thinThickSmallGap" w:sz="24" w:space="4" w:color="auto"/>
          <w:bottom w:val="thickThinSmallGap" w:sz="24" w:space="1" w:color="auto"/>
          <w:right w:val="thickThinSmallGap" w:sz="24" w:space="4" w:color="auto"/>
        </w:pBdr>
        <w:tabs>
          <w:tab w:val="num" w:pos="720"/>
        </w:tabs>
      </w:pPr>
      <w:proofErr w:type="gramStart"/>
      <w:r w:rsidRPr="00353835">
        <w:t>the</w:t>
      </w:r>
      <w:proofErr w:type="gramEnd"/>
      <w:r w:rsidRPr="00353835">
        <w:t xml:space="preserve"> student’s preferred language (such as their mother tongue, if different from either of the above).</w:t>
      </w:r>
    </w:p>
    <w:p w:rsidR="00DC7EF9" w:rsidRDefault="00353835" w:rsidP="00DC7EF9">
      <w:pPr>
        <w:pBdr>
          <w:top w:val="thinThickSmallGap" w:sz="24" w:space="1" w:color="auto"/>
          <w:left w:val="thinThickSmallGap" w:sz="24" w:space="4" w:color="auto"/>
          <w:bottom w:val="thickThinSmallGap" w:sz="24" w:space="1" w:color="auto"/>
          <w:right w:val="thickThinSmallGap" w:sz="24" w:space="4" w:color="auto"/>
        </w:pBdr>
      </w:pPr>
      <w:r w:rsidRPr="00353835">
        <w:t xml:space="preserve">Students might also complete their process journal in a language other than the language used in their project report. The important consideration is that personal projects completed in whichever language(s) are able to be assessed by an appropriate professional and be included in the standardization process. All projects submitted to the IB for moderation or monitoring of assessment must be written in one of the MYP working languages. </w:t>
      </w:r>
    </w:p>
    <w:p w:rsidR="00D20C80" w:rsidRPr="00353835" w:rsidRDefault="00D20C80" w:rsidP="00DC7EF9">
      <w:pPr>
        <w:pBdr>
          <w:top w:val="thinThickSmallGap" w:sz="24" w:space="1" w:color="auto"/>
          <w:left w:val="thinThickSmallGap" w:sz="24" w:space="4" w:color="auto"/>
          <w:bottom w:val="thickThinSmallGap" w:sz="24" w:space="1" w:color="auto"/>
          <w:right w:val="thickThinSmallGap" w:sz="24" w:space="4" w:color="auto"/>
        </w:pBdr>
      </w:pPr>
      <w:bookmarkStart w:id="0" w:name="_GoBack"/>
      <w:bookmarkEnd w:id="0"/>
    </w:p>
    <w:p w:rsidR="00075E41" w:rsidRDefault="00075E41"/>
    <w:sectPr w:rsidR="00075E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E1B88"/>
    <w:multiLevelType w:val="multilevel"/>
    <w:tmpl w:val="AC0A6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835"/>
    <w:rsid w:val="00075E41"/>
    <w:rsid w:val="00353835"/>
    <w:rsid w:val="00D20C80"/>
    <w:rsid w:val="00D3589E"/>
    <w:rsid w:val="00DC7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707438">
      <w:bodyDiv w:val="1"/>
      <w:marLeft w:val="0"/>
      <w:marRight w:val="0"/>
      <w:marTop w:val="0"/>
      <w:marBottom w:val="0"/>
      <w:divBdr>
        <w:top w:val="none" w:sz="0" w:space="0" w:color="auto"/>
        <w:left w:val="none" w:sz="0" w:space="0" w:color="auto"/>
        <w:bottom w:val="none" w:sz="0" w:space="0" w:color="auto"/>
        <w:right w:val="none" w:sz="0" w:space="0" w:color="auto"/>
      </w:divBdr>
      <w:divsChild>
        <w:div w:id="15854522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Margaret Amos</cp:lastModifiedBy>
  <cp:revision>2</cp:revision>
  <dcterms:created xsi:type="dcterms:W3CDTF">2013-06-12T12:20:00Z</dcterms:created>
  <dcterms:modified xsi:type="dcterms:W3CDTF">2013-06-12T12:20:00Z</dcterms:modified>
</cp:coreProperties>
</file>